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4609C" w14:textId="735CC9B5" w:rsidR="007C2A18" w:rsidRPr="0076083F" w:rsidRDefault="00F54E70" w:rsidP="007C2A18">
      <w:pPr>
        <w:pStyle w:val="Heading3"/>
        <w:keepNext/>
        <w:keepLines/>
        <w:numPr>
          <w:ilvl w:val="0"/>
          <w:numId w:val="0"/>
        </w:numPr>
        <w:shd w:val="clear" w:color="auto" w:fill="auto"/>
        <w:spacing w:before="40" w:after="80"/>
        <w:rPr>
          <w:color w:val="1E4D78"/>
        </w:rPr>
      </w:pPr>
      <w:r>
        <w:rPr>
          <w:color w:val="1E4D78"/>
        </w:rPr>
        <w:t xml:space="preserve">Anexa 3.2.5 - </w:t>
      </w:r>
      <w:r w:rsidR="007C2A18" w:rsidRPr="0076083F">
        <w:rPr>
          <w:color w:val="1E4D78"/>
        </w:rPr>
        <w:t xml:space="preserve">5. Valul renovării </w:t>
      </w:r>
      <w:r w:rsidR="004544B4">
        <w:rPr>
          <w:color w:val="1E4D78"/>
        </w:rPr>
        <w:t>si eficienta energetica</w:t>
      </w:r>
    </w:p>
    <w:p w14:paraId="4FAB00C6" w14:textId="77777777" w:rsidR="002266D2" w:rsidRPr="0076083F" w:rsidRDefault="002266D2" w:rsidP="00993D05">
      <w:pPr>
        <w:jc w:val="both"/>
        <w:rPr>
          <w:b/>
          <w:sz w:val="24"/>
          <w:szCs w:val="24"/>
        </w:rPr>
      </w:pPr>
    </w:p>
    <w:tbl>
      <w:tblPr>
        <w:tblStyle w:val="TableGrid"/>
        <w:tblW w:w="21142" w:type="dxa"/>
        <w:tblLook w:val="04A0" w:firstRow="1" w:lastRow="0" w:firstColumn="1" w:lastColumn="0" w:noHBand="0" w:noVBand="1"/>
      </w:tblPr>
      <w:tblGrid>
        <w:gridCol w:w="10449"/>
        <w:gridCol w:w="10693"/>
      </w:tblGrid>
      <w:tr w:rsidR="007C2A18" w:rsidRPr="0076083F" w14:paraId="624FEA98" w14:textId="77777777" w:rsidTr="005045AF">
        <w:trPr>
          <w:trHeight w:val="134"/>
        </w:trPr>
        <w:tc>
          <w:tcPr>
            <w:tcW w:w="10449" w:type="dxa"/>
            <w:shd w:val="clear" w:color="auto" w:fill="FFFF00"/>
          </w:tcPr>
          <w:p w14:paraId="6E4981AF" w14:textId="77777777" w:rsidR="007C2A18" w:rsidRPr="0076083F" w:rsidRDefault="007C2A18" w:rsidP="005E402F">
            <w:pPr>
              <w:rPr>
                <w:b/>
                <w:sz w:val="24"/>
                <w:szCs w:val="24"/>
              </w:rPr>
            </w:pPr>
            <w:r w:rsidRPr="0076083F">
              <w:rPr>
                <w:b/>
                <w:sz w:val="24"/>
                <w:szCs w:val="24"/>
              </w:rPr>
              <w:t>PNRR</w:t>
            </w:r>
          </w:p>
        </w:tc>
        <w:tc>
          <w:tcPr>
            <w:tcW w:w="10693" w:type="dxa"/>
            <w:shd w:val="clear" w:color="auto" w:fill="FFFF00"/>
          </w:tcPr>
          <w:p w14:paraId="1500FF54" w14:textId="77777777" w:rsidR="007C2A18" w:rsidRPr="0076083F" w:rsidRDefault="007C2A18" w:rsidP="00A00F6C">
            <w:pPr>
              <w:rPr>
                <w:b/>
                <w:sz w:val="24"/>
                <w:szCs w:val="24"/>
              </w:rPr>
            </w:pPr>
            <w:r w:rsidRPr="0076083F">
              <w:rPr>
                <w:b/>
                <w:sz w:val="24"/>
                <w:szCs w:val="24"/>
              </w:rPr>
              <w:t>POR</w:t>
            </w:r>
          </w:p>
        </w:tc>
      </w:tr>
      <w:tr w:rsidR="007C2A18" w:rsidRPr="0076083F" w14:paraId="19408726" w14:textId="77777777" w:rsidTr="005045AF">
        <w:trPr>
          <w:trHeight w:val="746"/>
        </w:trPr>
        <w:tc>
          <w:tcPr>
            <w:tcW w:w="10449" w:type="dxa"/>
          </w:tcPr>
          <w:p w14:paraId="2EE7A216" w14:textId="41C97289" w:rsidR="007C2A18" w:rsidRDefault="007C2A18" w:rsidP="005E402F">
            <w:pPr>
              <w:rPr>
                <w:b/>
                <w:sz w:val="24"/>
                <w:szCs w:val="24"/>
              </w:rPr>
            </w:pPr>
            <w:r w:rsidRPr="0076083F">
              <w:rPr>
                <w:b/>
                <w:sz w:val="24"/>
                <w:szCs w:val="24"/>
              </w:rPr>
              <w:t xml:space="preserve">Pilon I </w:t>
            </w:r>
            <w:r w:rsidR="007F69F6" w:rsidRPr="0076083F">
              <w:rPr>
                <w:b/>
                <w:sz w:val="24"/>
                <w:szCs w:val="24"/>
              </w:rPr>
              <w:t>Tranziția</w:t>
            </w:r>
            <w:r w:rsidRPr="0076083F">
              <w:rPr>
                <w:b/>
                <w:sz w:val="24"/>
                <w:szCs w:val="24"/>
              </w:rPr>
              <w:t xml:space="preserve"> Verde Valul renovării - reabilitarea verde și seismică a fondului construit existent</w:t>
            </w:r>
          </w:p>
          <w:p w14:paraId="0741E9CE" w14:textId="77777777" w:rsidR="000F6019" w:rsidRPr="0076083F" w:rsidRDefault="000F6019" w:rsidP="005E402F">
            <w:pPr>
              <w:rPr>
                <w:b/>
                <w:sz w:val="24"/>
                <w:szCs w:val="24"/>
              </w:rPr>
            </w:pPr>
            <w:r w:rsidRPr="000F6019">
              <w:rPr>
                <w:b/>
                <w:sz w:val="24"/>
                <w:szCs w:val="24"/>
              </w:rPr>
              <w:t>Cost total estimat: 2,2 miliarde euro</w:t>
            </w:r>
          </w:p>
        </w:tc>
        <w:tc>
          <w:tcPr>
            <w:tcW w:w="10693" w:type="dxa"/>
          </w:tcPr>
          <w:p w14:paraId="06B34614" w14:textId="5ADEFBBF" w:rsidR="007C2A18" w:rsidRPr="0076083F" w:rsidRDefault="007F69F6" w:rsidP="00A00F6C">
            <w:pPr>
              <w:rPr>
                <w:rFonts w:ascii="Trebuchet MS" w:hAnsi="Trebuchet MS"/>
                <w:sz w:val="24"/>
                <w:szCs w:val="24"/>
              </w:rPr>
            </w:pPr>
            <w:r w:rsidRPr="0076083F">
              <w:rPr>
                <w:rFonts w:ascii="Trebuchet MS" w:hAnsi="Trebuchet MS"/>
                <w:b/>
                <w:sz w:val="24"/>
                <w:szCs w:val="24"/>
              </w:rPr>
              <w:t>Priorități</w:t>
            </w:r>
            <w:r w:rsidR="007C2A18" w:rsidRPr="0076083F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="007C2A18" w:rsidRPr="0076083F">
              <w:rPr>
                <w:rFonts w:ascii="Trebuchet MS" w:hAnsi="Trebuchet MS"/>
                <w:sz w:val="24"/>
                <w:szCs w:val="24"/>
              </w:rPr>
              <w:t>privind Eficienta energetica si infrastructura verde</w:t>
            </w:r>
          </w:p>
          <w:p w14:paraId="26941042" w14:textId="77777777" w:rsidR="007C2A18" w:rsidRPr="0076083F" w:rsidRDefault="007C2A18" w:rsidP="00A00F6C">
            <w:pPr>
              <w:rPr>
                <w:sz w:val="24"/>
                <w:szCs w:val="24"/>
              </w:rPr>
            </w:pPr>
            <w:r w:rsidRPr="0076083F">
              <w:rPr>
                <w:rFonts w:ascii="Trebuchet MS" w:hAnsi="Trebuchet MS"/>
                <w:b/>
                <w:sz w:val="24"/>
                <w:szCs w:val="24"/>
              </w:rPr>
              <w:t>Buget: 1,232 mld. FEDR</w:t>
            </w:r>
          </w:p>
        </w:tc>
      </w:tr>
      <w:tr w:rsidR="007C2A18" w:rsidRPr="0076083F" w14:paraId="78F8E716" w14:textId="77777777" w:rsidTr="005045AF">
        <w:trPr>
          <w:trHeight w:val="3122"/>
        </w:trPr>
        <w:tc>
          <w:tcPr>
            <w:tcW w:w="10449" w:type="dxa"/>
          </w:tcPr>
          <w:p w14:paraId="5B8D881B" w14:textId="77777777" w:rsidR="007C2A18" w:rsidRPr="0076083F" w:rsidRDefault="007C2A18" w:rsidP="007C2A18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</w:tabs>
              <w:jc w:val="both"/>
              <w:rPr>
                <w:sz w:val="24"/>
                <w:szCs w:val="24"/>
                <w:lang w:val="ro-RO"/>
              </w:rPr>
            </w:pPr>
            <w:r w:rsidRPr="0076083F">
              <w:rPr>
                <w:sz w:val="24"/>
                <w:szCs w:val="24"/>
                <w:lang w:val="ro-RO"/>
              </w:rPr>
              <w:t>Instituirea unui fond ”</w:t>
            </w:r>
            <w:proofErr w:type="spellStart"/>
            <w:r w:rsidRPr="0076083F">
              <w:rPr>
                <w:sz w:val="24"/>
                <w:szCs w:val="24"/>
                <w:lang w:val="ro-RO"/>
              </w:rPr>
              <w:t>renovation</w:t>
            </w:r>
            <w:proofErr w:type="spellEnd"/>
            <w:r w:rsidRPr="0076083F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6083F">
              <w:rPr>
                <w:sz w:val="24"/>
                <w:szCs w:val="24"/>
                <w:lang w:val="ro-RO"/>
              </w:rPr>
              <w:t>wave</w:t>
            </w:r>
            <w:proofErr w:type="spellEnd"/>
            <w:r w:rsidRPr="0076083F">
              <w:rPr>
                <w:sz w:val="24"/>
                <w:szCs w:val="24"/>
                <w:lang w:val="ro-RO"/>
              </w:rPr>
              <w:t>” care să finanțeze adecvat, printr-un program de investiții,  lucrări de îmbunătățire a fondului construit existent:</w:t>
            </w:r>
          </w:p>
          <w:p w14:paraId="5FAB62B3" w14:textId="77777777" w:rsidR="007C2A18" w:rsidRPr="0076083F" w:rsidRDefault="007C2A18" w:rsidP="007C2A18">
            <w:pPr>
              <w:numPr>
                <w:ilvl w:val="1"/>
                <w:numId w:val="7"/>
              </w:num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76083F">
              <w:rPr>
                <w:sz w:val="24"/>
                <w:szCs w:val="24"/>
              </w:rPr>
              <w:t xml:space="preserve">clădiri rezidențiale multifamiliale; </w:t>
            </w:r>
          </w:p>
          <w:p w14:paraId="4CF666A3" w14:textId="0623FB96" w:rsidR="007C2A18" w:rsidRDefault="007C2A18" w:rsidP="007F69F6">
            <w:pPr>
              <w:numPr>
                <w:ilvl w:val="1"/>
                <w:numId w:val="7"/>
              </w:num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76083F">
              <w:rPr>
                <w:sz w:val="24"/>
                <w:szCs w:val="24"/>
              </w:rPr>
              <w:t xml:space="preserve">clădiri publice </w:t>
            </w:r>
            <w:r w:rsidR="007F69F6" w:rsidRPr="007F69F6">
              <w:rPr>
                <w:sz w:val="24"/>
                <w:szCs w:val="24"/>
              </w:rPr>
              <w:t>energetică în clădiri publice (sedii administrative, clădiri publice care deservesc servicii publice)</w:t>
            </w:r>
            <w:r w:rsidR="007F69F6">
              <w:rPr>
                <w:sz w:val="24"/>
                <w:szCs w:val="24"/>
              </w:rPr>
              <w:t>.</w:t>
            </w:r>
          </w:p>
          <w:p w14:paraId="2D776E81" w14:textId="2567184A" w:rsidR="007F69F6" w:rsidRPr="0076083F" w:rsidRDefault="007F69F6" w:rsidP="007F69F6">
            <w:pPr>
              <w:tabs>
                <w:tab w:val="left" w:pos="720"/>
              </w:tabs>
              <w:ind w:left="360"/>
              <w:jc w:val="both"/>
              <w:rPr>
                <w:sz w:val="24"/>
                <w:szCs w:val="24"/>
              </w:rPr>
            </w:pPr>
            <w:r w:rsidRPr="007F69F6">
              <w:rPr>
                <w:sz w:val="24"/>
                <w:szCs w:val="24"/>
              </w:rPr>
              <w:t xml:space="preserve">În cadrul celor </w:t>
            </w:r>
            <w:r>
              <w:rPr>
                <w:sz w:val="24"/>
                <w:szCs w:val="24"/>
              </w:rPr>
              <w:t xml:space="preserve">fondului </w:t>
            </w:r>
            <w:r w:rsidRPr="007F69F6">
              <w:rPr>
                <w:sz w:val="24"/>
                <w:szCs w:val="24"/>
              </w:rPr>
              <w:t>va fi abordată și creșterea eficienței energetice a clădirilor istorice în care se desfășoară activități umane, pe baza metodologiei non-invazive care să nu distrugă valoarea istorică și arhitecturală a acestora, metodologie anterior enunțată.</w:t>
            </w:r>
          </w:p>
          <w:p w14:paraId="210C3065" w14:textId="375EBDCF" w:rsidR="007C2A18" w:rsidRPr="007F69F6" w:rsidRDefault="007F69F6" w:rsidP="007F69F6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bookmarkStart w:id="0" w:name="_heading=h.ya5eut3r2jne" w:colFirst="0" w:colLast="0"/>
            <w:bookmarkStart w:id="1" w:name="_heading=h.9p41i3q3dt7q" w:colFirst="0" w:colLast="0"/>
            <w:bookmarkEnd w:id="0"/>
            <w:bookmarkEnd w:id="1"/>
            <w:r w:rsidRPr="007F69F6">
              <w:rPr>
                <w:sz w:val="24"/>
                <w:szCs w:val="24"/>
                <w:lang w:val="ro-RO"/>
              </w:rPr>
              <w:t>Consolidarea capacității profesionale a specialiștilor și lucrătorilor în domeniul construcțiilor pentru realizarea de construcții cu performanțe energetice sporite - dezvoltarea de centre regionale de pregătire și formare profesională și organizarea de sesiuni de instruire</w:t>
            </w:r>
            <w:bookmarkStart w:id="2" w:name="_heading=h.ka7cnieudfum" w:colFirst="0" w:colLast="0"/>
            <w:bookmarkEnd w:id="2"/>
          </w:p>
        </w:tc>
        <w:tc>
          <w:tcPr>
            <w:tcW w:w="10693" w:type="dxa"/>
          </w:tcPr>
          <w:p w14:paraId="6BA968DB" w14:textId="77777777" w:rsidR="007C2A18" w:rsidRPr="0076083F" w:rsidRDefault="007C2A18" w:rsidP="003870F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76083F">
              <w:rPr>
                <w:sz w:val="24"/>
                <w:szCs w:val="24"/>
              </w:rPr>
              <w:t xml:space="preserve">Investiții în </w:t>
            </w:r>
            <w:r w:rsidRPr="0076083F">
              <w:rPr>
                <w:b/>
                <w:sz w:val="24"/>
                <w:szCs w:val="24"/>
              </w:rPr>
              <w:t>clădirile rezidențiale și publice în vederea asigurării/creșterii eficienței energetice</w:t>
            </w:r>
            <w:r w:rsidRPr="0076083F">
              <w:rPr>
                <w:sz w:val="24"/>
                <w:szCs w:val="24"/>
              </w:rPr>
              <w:t xml:space="preserve">, </w:t>
            </w:r>
            <w:r w:rsidRPr="0076083F">
              <w:rPr>
                <w:b/>
                <w:sz w:val="24"/>
                <w:szCs w:val="24"/>
              </w:rPr>
              <w:t>inclusiv măsuri de consolidare structurală</w:t>
            </w:r>
            <w:r w:rsidRPr="0076083F">
              <w:rPr>
                <w:sz w:val="24"/>
                <w:szCs w:val="24"/>
              </w:rPr>
              <w:t xml:space="preserve"> în </w:t>
            </w:r>
            <w:r w:rsidRPr="0076083F">
              <w:rPr>
                <w:rFonts w:ascii="Trebuchet MS" w:hAnsi="Trebuchet MS"/>
                <w:sz w:val="24"/>
                <w:szCs w:val="24"/>
              </w:rPr>
              <w:t>funcție de nivelul de expunere și vulnerabilitate la riscurile identificate și măsuri pentru utilizarea unor surse regenerabile de energie;</w:t>
            </w:r>
          </w:p>
          <w:p w14:paraId="5D28956A" w14:textId="5388F2AE" w:rsidR="007C2A18" w:rsidRPr="0076083F" w:rsidRDefault="007C2A18" w:rsidP="008938D2">
            <w:pPr>
              <w:jc w:val="both"/>
              <w:rPr>
                <w:b/>
                <w:sz w:val="24"/>
                <w:szCs w:val="24"/>
              </w:rPr>
            </w:pPr>
            <w:r w:rsidRPr="0076083F">
              <w:rPr>
                <w:rFonts w:ascii="Trebuchet MS" w:hAnsi="Trebuchet MS"/>
                <w:sz w:val="24"/>
                <w:szCs w:val="24"/>
              </w:rPr>
              <w:t xml:space="preserve">Grup țintă: </w:t>
            </w:r>
            <w:r w:rsidR="007F69F6" w:rsidRPr="0076083F">
              <w:rPr>
                <w:rFonts w:ascii="Trebuchet MS" w:hAnsi="Trebuchet MS"/>
                <w:sz w:val="24"/>
                <w:szCs w:val="24"/>
              </w:rPr>
              <w:t>cetățenii</w:t>
            </w:r>
            <w:r w:rsidRPr="0076083F">
              <w:rPr>
                <w:rFonts w:ascii="Trebuchet MS" w:hAnsi="Trebuchet MS"/>
                <w:sz w:val="24"/>
                <w:szCs w:val="24"/>
              </w:rPr>
              <w:t xml:space="preserve"> (persoane fizice din urban </w:t>
            </w:r>
            <w:r w:rsidR="007F69F6" w:rsidRPr="0076083F">
              <w:rPr>
                <w:rFonts w:ascii="Trebuchet MS" w:hAnsi="Trebuchet MS"/>
                <w:sz w:val="24"/>
                <w:szCs w:val="24"/>
              </w:rPr>
              <w:t>și</w:t>
            </w:r>
            <w:r w:rsidRPr="0076083F">
              <w:rPr>
                <w:rFonts w:ascii="Trebuchet MS" w:hAnsi="Trebuchet MS"/>
                <w:sz w:val="24"/>
                <w:szCs w:val="24"/>
              </w:rPr>
              <w:t xml:space="preserve"> rural) care </w:t>
            </w:r>
            <w:r w:rsidR="007F69F6" w:rsidRPr="0076083F">
              <w:rPr>
                <w:rFonts w:ascii="Trebuchet MS" w:hAnsi="Trebuchet MS"/>
                <w:sz w:val="24"/>
                <w:szCs w:val="24"/>
              </w:rPr>
              <w:t>utilizează</w:t>
            </w:r>
            <w:r w:rsidRPr="0076083F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7F69F6" w:rsidRPr="0076083F">
              <w:rPr>
                <w:rFonts w:ascii="Trebuchet MS" w:hAnsi="Trebuchet MS"/>
                <w:sz w:val="24"/>
                <w:szCs w:val="24"/>
              </w:rPr>
              <w:t>clădirile</w:t>
            </w:r>
            <w:r w:rsidRPr="0076083F">
              <w:rPr>
                <w:rFonts w:ascii="Trebuchet MS" w:hAnsi="Trebuchet MS"/>
                <w:sz w:val="24"/>
                <w:szCs w:val="24"/>
              </w:rPr>
              <w:t xml:space="preserve"> (proprietarii și utilizatorii </w:t>
            </w:r>
            <w:r w:rsidR="007F69F6" w:rsidRPr="0076083F">
              <w:rPr>
                <w:rFonts w:ascii="Trebuchet MS" w:hAnsi="Trebuchet MS"/>
                <w:sz w:val="24"/>
                <w:szCs w:val="24"/>
              </w:rPr>
              <w:t>clădirilor</w:t>
            </w:r>
            <w:r w:rsidRPr="0076083F">
              <w:rPr>
                <w:rFonts w:ascii="Trebuchet MS" w:hAnsi="Trebuchet MS"/>
                <w:sz w:val="24"/>
                <w:szCs w:val="24"/>
              </w:rPr>
              <w:t xml:space="preserve"> reabilitate)</w:t>
            </w:r>
          </w:p>
        </w:tc>
      </w:tr>
      <w:tr w:rsidR="0076083F" w:rsidRPr="0076083F" w14:paraId="6ECDD289" w14:textId="77777777" w:rsidTr="005045AF">
        <w:trPr>
          <w:trHeight w:val="675"/>
        </w:trPr>
        <w:tc>
          <w:tcPr>
            <w:tcW w:w="21142" w:type="dxa"/>
            <w:gridSpan w:val="2"/>
          </w:tcPr>
          <w:p w14:paraId="7FC62030" w14:textId="651AAD8F" w:rsidR="0076083F" w:rsidRPr="0076083F" w:rsidRDefault="0076083F" w:rsidP="003870F5">
            <w:pPr>
              <w:jc w:val="both"/>
              <w:rPr>
                <w:sz w:val="24"/>
                <w:szCs w:val="24"/>
              </w:rPr>
            </w:pPr>
            <w:r w:rsidRPr="0076083F">
              <w:rPr>
                <w:color w:val="FF0000"/>
                <w:sz w:val="24"/>
                <w:szCs w:val="24"/>
              </w:rPr>
              <w:t xml:space="preserve">Demarcarea intervențiilor PNRR-POR se va face în implementare, pe baza unor criterii clare, eventual o demarcare poate fi regimul de </w:t>
            </w:r>
            <w:r w:rsidR="007F69F6" w:rsidRPr="0076083F">
              <w:rPr>
                <w:color w:val="FF0000"/>
                <w:sz w:val="24"/>
                <w:szCs w:val="24"/>
              </w:rPr>
              <w:t>înălțime</w:t>
            </w:r>
            <w:r w:rsidRPr="0076083F">
              <w:rPr>
                <w:color w:val="FF0000"/>
                <w:sz w:val="24"/>
                <w:szCs w:val="24"/>
              </w:rPr>
              <w:t xml:space="preserve"> al clădirii (ex. PNRR – clădirile P+4, POR – clădirile peste P+4)</w:t>
            </w:r>
          </w:p>
        </w:tc>
      </w:tr>
    </w:tbl>
    <w:p w14:paraId="6912D0C5" w14:textId="77777777" w:rsidR="00166536" w:rsidRPr="0076083F" w:rsidRDefault="00166536">
      <w:pPr>
        <w:rPr>
          <w:sz w:val="24"/>
          <w:szCs w:val="24"/>
        </w:rPr>
      </w:pPr>
    </w:p>
    <w:sectPr w:rsidR="00166536" w:rsidRPr="0076083F" w:rsidSect="00AA511A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C6535"/>
    <w:multiLevelType w:val="multilevel"/>
    <w:tmpl w:val="CD2C909A"/>
    <w:lvl w:ilvl="0">
      <w:start w:val="1"/>
      <w:numFmt w:val="bullet"/>
      <w:lvlText w:val="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b/>
        <w:i w:val="0"/>
        <w:color w:val="4F81BD" w:themeColor="accent1"/>
        <w:sz w:val="20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67"/>
        </w:tabs>
        <w:ind w:left="296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27"/>
        </w:tabs>
        <w:ind w:left="512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0631FF"/>
    <w:multiLevelType w:val="hybridMultilevel"/>
    <w:tmpl w:val="7D8CF5C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20D04"/>
    <w:multiLevelType w:val="hybridMultilevel"/>
    <w:tmpl w:val="013A56B8"/>
    <w:lvl w:ilvl="0" w:tplc="0FD855CC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902DF"/>
    <w:multiLevelType w:val="multilevel"/>
    <w:tmpl w:val="1CBEFB5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77D135B"/>
    <w:multiLevelType w:val="hybridMultilevel"/>
    <w:tmpl w:val="5B380AC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62915"/>
    <w:multiLevelType w:val="hybridMultilevel"/>
    <w:tmpl w:val="4B3ED9E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64EB0"/>
    <w:multiLevelType w:val="multilevel"/>
    <w:tmpl w:val="F7D44008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Heading2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Heading3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Heading4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8E53686"/>
    <w:multiLevelType w:val="hybridMultilevel"/>
    <w:tmpl w:val="018CB73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52"/>
    <w:rsid w:val="000100C5"/>
    <w:rsid w:val="000A7917"/>
    <w:rsid w:val="000D0863"/>
    <w:rsid w:val="000F6019"/>
    <w:rsid w:val="001014C9"/>
    <w:rsid w:val="00143C22"/>
    <w:rsid w:val="00166536"/>
    <w:rsid w:val="001958BB"/>
    <w:rsid w:val="001B53BB"/>
    <w:rsid w:val="001D5D63"/>
    <w:rsid w:val="00212814"/>
    <w:rsid w:val="00217E5F"/>
    <w:rsid w:val="002266D2"/>
    <w:rsid w:val="0024504E"/>
    <w:rsid w:val="00246109"/>
    <w:rsid w:val="002B2B2D"/>
    <w:rsid w:val="002E751D"/>
    <w:rsid w:val="003030E1"/>
    <w:rsid w:val="00334E6C"/>
    <w:rsid w:val="00345683"/>
    <w:rsid w:val="0038675B"/>
    <w:rsid w:val="003870F5"/>
    <w:rsid w:val="003C0521"/>
    <w:rsid w:val="003D4732"/>
    <w:rsid w:val="00420D4A"/>
    <w:rsid w:val="00437231"/>
    <w:rsid w:val="004544B4"/>
    <w:rsid w:val="004B2B63"/>
    <w:rsid w:val="005045AF"/>
    <w:rsid w:val="00534921"/>
    <w:rsid w:val="005A58CC"/>
    <w:rsid w:val="005D5B92"/>
    <w:rsid w:val="006715CA"/>
    <w:rsid w:val="006B783B"/>
    <w:rsid w:val="006F0E95"/>
    <w:rsid w:val="006F6202"/>
    <w:rsid w:val="0076083F"/>
    <w:rsid w:val="007B739F"/>
    <w:rsid w:val="007C2A18"/>
    <w:rsid w:val="007F69F6"/>
    <w:rsid w:val="00800384"/>
    <w:rsid w:val="008938D2"/>
    <w:rsid w:val="00943811"/>
    <w:rsid w:val="00993D05"/>
    <w:rsid w:val="009A6EB9"/>
    <w:rsid w:val="009C7BAF"/>
    <w:rsid w:val="009F38AE"/>
    <w:rsid w:val="00A70894"/>
    <w:rsid w:val="00A81A3F"/>
    <w:rsid w:val="00A83AE4"/>
    <w:rsid w:val="00AA511A"/>
    <w:rsid w:val="00AC203D"/>
    <w:rsid w:val="00AF2C55"/>
    <w:rsid w:val="00B064CF"/>
    <w:rsid w:val="00B3411B"/>
    <w:rsid w:val="00B4783F"/>
    <w:rsid w:val="00C125DC"/>
    <w:rsid w:val="00C55D10"/>
    <w:rsid w:val="00C76C42"/>
    <w:rsid w:val="00CD4C17"/>
    <w:rsid w:val="00CF07C9"/>
    <w:rsid w:val="00D1013D"/>
    <w:rsid w:val="00D47854"/>
    <w:rsid w:val="00D55D1C"/>
    <w:rsid w:val="00D67258"/>
    <w:rsid w:val="00D92BEC"/>
    <w:rsid w:val="00DC400E"/>
    <w:rsid w:val="00DF2652"/>
    <w:rsid w:val="00E04CCA"/>
    <w:rsid w:val="00F447E4"/>
    <w:rsid w:val="00F47BA7"/>
    <w:rsid w:val="00F54E70"/>
    <w:rsid w:val="00FC0F6E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37FFF"/>
  <w15:docId w15:val="{B9FFBAE8-270F-4E04-807D-D5A8E109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2A18"/>
    <w:pPr>
      <w:numPr>
        <w:numId w:val="8"/>
      </w:numPr>
      <w:shd w:val="clear" w:color="auto" w:fill="E9ECEF"/>
      <w:tabs>
        <w:tab w:val="left" w:pos="720"/>
      </w:tabs>
      <w:spacing w:after="120" w:line="240" w:lineRule="auto"/>
      <w:jc w:val="both"/>
      <w:outlineLvl w:val="0"/>
    </w:pPr>
    <w:rPr>
      <w:rFonts w:ascii="Trebuchet MS" w:eastAsia="Trebuchet MS" w:hAnsi="Trebuchet MS" w:cs="Arial"/>
      <w:b/>
      <w:bCs/>
      <w:iCs/>
      <w:color w:val="4F81BD" w:themeColor="accent1"/>
      <w:sz w:val="30"/>
      <w:szCs w:val="28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A18"/>
    <w:pPr>
      <w:numPr>
        <w:ilvl w:val="1"/>
        <w:numId w:val="8"/>
      </w:numPr>
      <w:shd w:val="clear" w:color="auto" w:fill="E9ECEF"/>
      <w:tabs>
        <w:tab w:val="left" w:pos="720"/>
      </w:tabs>
      <w:spacing w:after="120" w:line="240" w:lineRule="auto"/>
      <w:jc w:val="both"/>
      <w:outlineLvl w:val="1"/>
    </w:pPr>
    <w:rPr>
      <w:rFonts w:ascii="Trebuchet MS" w:eastAsia="Trebuchet MS" w:hAnsi="Trebuchet MS" w:cs="Arial"/>
      <w:b/>
      <w:bCs/>
      <w:color w:val="9BBB59" w:themeColor="accent3"/>
      <w:sz w:val="28"/>
      <w:szCs w:val="32"/>
      <w:lang w:eastAsia="ro-RO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C2A18"/>
    <w:pPr>
      <w:numPr>
        <w:ilvl w:val="2"/>
      </w:numPr>
      <w:ind w:left="567"/>
      <w:outlineLvl w:val="2"/>
    </w:pPr>
    <w:rPr>
      <w:color w:val="4F81BD" w:themeColor="accent1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7C2A18"/>
    <w:pPr>
      <w:numPr>
        <w:ilvl w:val="3"/>
      </w:numPr>
      <w:tabs>
        <w:tab w:val="left" w:pos="1276"/>
      </w:tabs>
      <w:outlineLvl w:val="3"/>
    </w:pPr>
    <w:rPr>
      <w:bCs w:val="0"/>
      <w:color w:val="9BBB59" w:themeColor="accent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6715CA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6715CA"/>
    <w:rPr>
      <w:lang w:val="en-US"/>
    </w:rPr>
  </w:style>
  <w:style w:type="paragraph" w:customStyle="1" w:styleId="Lista">
    <w:name w:val="Lista"/>
    <w:basedOn w:val="Normal"/>
    <w:link w:val="ListaChar"/>
    <w:qFormat/>
    <w:rsid w:val="00AC203D"/>
    <w:pPr>
      <w:spacing w:after="60" w:line="360" w:lineRule="auto"/>
      <w:jc w:val="both"/>
      <w:textAlignment w:val="baseline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ListaChar">
    <w:name w:val="Lista Char"/>
    <w:basedOn w:val="DefaultParagraphFont"/>
    <w:link w:val="Lista"/>
    <w:rsid w:val="00AC203D"/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A1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C2A18"/>
    <w:rPr>
      <w:rFonts w:ascii="Trebuchet MS" w:eastAsia="Trebuchet MS" w:hAnsi="Trebuchet MS" w:cs="Arial"/>
      <w:b/>
      <w:bCs/>
      <w:iCs/>
      <w:color w:val="4F81BD" w:themeColor="accent1"/>
      <w:sz w:val="30"/>
      <w:szCs w:val="28"/>
      <w:shd w:val="clear" w:color="auto" w:fill="E9ECEF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7C2A18"/>
    <w:rPr>
      <w:rFonts w:ascii="Trebuchet MS" w:eastAsia="Trebuchet MS" w:hAnsi="Trebuchet MS" w:cs="Arial"/>
      <w:b/>
      <w:bCs/>
      <w:color w:val="9BBB59" w:themeColor="accent3"/>
      <w:sz w:val="28"/>
      <w:szCs w:val="32"/>
      <w:shd w:val="clear" w:color="auto" w:fill="E9ECEF"/>
      <w:lang w:eastAsia="ro-RO"/>
    </w:rPr>
  </w:style>
  <w:style w:type="character" w:customStyle="1" w:styleId="Heading3Char">
    <w:name w:val="Heading 3 Char"/>
    <w:basedOn w:val="DefaultParagraphFont"/>
    <w:link w:val="Heading3"/>
    <w:uiPriority w:val="9"/>
    <w:rsid w:val="007C2A18"/>
    <w:rPr>
      <w:rFonts w:ascii="Trebuchet MS" w:eastAsia="Trebuchet MS" w:hAnsi="Trebuchet MS" w:cs="Arial"/>
      <w:b/>
      <w:bCs/>
      <w:color w:val="4F81BD" w:themeColor="accent1"/>
      <w:sz w:val="24"/>
      <w:szCs w:val="24"/>
      <w:shd w:val="clear" w:color="auto" w:fill="E9ECEF"/>
      <w:lang w:eastAsia="ro-RO"/>
    </w:rPr>
  </w:style>
  <w:style w:type="character" w:customStyle="1" w:styleId="Heading4Char">
    <w:name w:val="Heading 4 Char"/>
    <w:basedOn w:val="DefaultParagraphFont"/>
    <w:link w:val="Heading4"/>
    <w:uiPriority w:val="9"/>
    <w:rsid w:val="007C2A18"/>
    <w:rPr>
      <w:rFonts w:ascii="Trebuchet MS" w:eastAsia="Trebuchet MS" w:hAnsi="Trebuchet MS" w:cs="Arial"/>
      <w:b/>
      <w:color w:val="9BBB59" w:themeColor="accent3"/>
      <w:sz w:val="24"/>
      <w:szCs w:val="24"/>
      <w:shd w:val="clear" w:color="auto" w:fill="E9ECEF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3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79BCD-5E0A-4977-B209-CAD87DBB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Madalina Iliuta</dc:creator>
  <cp:lastModifiedBy>Vlad Ilina</cp:lastModifiedBy>
  <cp:revision>2</cp:revision>
  <cp:lastPrinted>2021-05-12T11:44:00Z</cp:lastPrinted>
  <dcterms:created xsi:type="dcterms:W3CDTF">2021-05-31T00:04:00Z</dcterms:created>
  <dcterms:modified xsi:type="dcterms:W3CDTF">2021-05-31T00:04:00Z</dcterms:modified>
</cp:coreProperties>
</file>